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9E" w:rsidRPr="007F269E" w:rsidRDefault="007F269E" w:rsidP="007F269E">
      <w:pPr>
        <w:shd w:val="clear" w:color="auto" w:fill="FFFFFF"/>
        <w:spacing w:before="100" w:beforeAutospacing="1" w:after="0" w:line="360" w:lineRule="atLeast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7F269E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Кредитные продукты МСП Банка по «Программе 6,5» </w:t>
      </w:r>
    </w:p>
    <w:p w:rsidR="007F269E" w:rsidRPr="007F269E" w:rsidRDefault="007F269E" w:rsidP="007F269E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публикации: 14.01.2020</w:t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7F269E" w:rsidRDefault="007F269E" w:rsidP="007F269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кредитной линейке МСП Банка представлены 5 продуктов, средства по которым предо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ставляются по «Программе 6,5».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кредитования — приобретение основных средств, модернизация и реконструкция производства, запуск новых проектов, а также пополнение оборотных сре</w:t>
      </w:r>
      <w:proofErr w:type="gramStart"/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пр</w:t>
      </w:r>
      <w:proofErr w:type="gramEnd"/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реализации проектов в пр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иоритетных отраслях экономики.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    Инвестиционный проект          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             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Финансирование инвестиций, направленных на создание или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приобретение основных средств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Сумма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25-500 млн руб.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Срок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84 месяцев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Ставка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Малый бизнес: 10,1% годовы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Средний бизнес: 9,1% годовых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в </w:t>
      </w:r>
      <w:proofErr w:type="spellStart"/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финансирование оборотного капитала (не более 30% от величины кредита).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     Инвестиционный кредит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Финансирование инвестиций, направленных на создание или приобретение основных средст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Сумма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10-25 млн руб.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Срок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60 месяцев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Ставка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Малый бизнес: 10,1% годовы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Средний бизнес: 9,1% годовых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в </w:t>
      </w:r>
      <w:proofErr w:type="spellStart"/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финансирование оборотного капитала (не более 30% от величины кредита).</w:t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    Приоритет — Оборотный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Пополнение оборотных средств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Сумма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25-250 млн руб.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Срок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36 месяцев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Ставка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Малый бизнес: 10,6% годовых</w:t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Средний бизнес: 9,6% годовы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     Экспресс — Оборотный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Пополнение оборотных средств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Сумма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10-25 млн руб.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Срок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12 месяцев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Ставка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Малый бизнес: 10,6% годовых</w:t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Средний бизнес: 9,6% годовых</w:t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5.    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Госконтракт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Оборотный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Финансирование расходов, связанных с исполнением контрактов в рамках федера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льных законов №44-ФЗ и №223-ФЗ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Сумма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10-250 млн руб.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Срок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36 месяцев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Ставка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Малый бизнес: 10,6% годовы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Средний бизнес: 9,6% годовых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кредита - финансирование расходов, связанных с исполнением контрактов в рамках федеральных законов №44-ФЗ и №223-ФЗ.</w:t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 сумме кредита до 25 </w:t>
      </w:r>
      <w:proofErr w:type="gramStart"/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млн</w:t>
      </w:r>
      <w:proofErr w:type="gramEnd"/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в залог берутся только будущие поступления по контракту.</w:t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Сумма кредита – от 10 до 250 </w:t>
      </w:r>
      <w:proofErr w:type="gramStart"/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млн</w:t>
      </w:r>
      <w:proofErr w:type="gramEnd"/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но не более 70% суммы контракта, уменьшенной на сумму полученного аванса и на сумму произведенных оплат за выполнение контракта от заказчика.</w:t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Срок кредита – не более 36 месяцев, но не более срока действия контракт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а, увеличенного на 90 дней.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Экспресс на текущие цели</w:t>
      </w:r>
    </w:p>
    <w:p w:rsidR="007F269E" w:rsidRDefault="007F269E" w:rsidP="007F269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Пополнение оборотных средств, финансирование текущей деятельности, 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плату налогов и другие платежи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Сумма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1-5 млн руб.</w:t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Срок</w:t>
      </w:r>
      <w:proofErr w:type="gramStart"/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12 месяцев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Ставка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12,5% годовых</w:t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женщин-пр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едпринимателей – 10,6% годовых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женского предпринимательства, получившие нефинансовую поддержку со стороны АО «Корпорация «МСП» в виде:</w:t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обучения по программам тренингов для субъектов МСП АО «Корпорация «МСП», в том числе «Мама – предприниматель», или</w:t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консультационной поддержк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через Бизнес-навигатор МСП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кредита – пополнение оборотных средств, финансирование текущей деятельности, включая приобретение товарно-материальных ценностей, сырья и материалов, горюче-смазочных материалов; осуществление арендных платежей; выплату заработной платы, уплату налогов и другие платежи, не связанны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с капитальными вложениями.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F269E" w:rsidRPr="007F269E" w:rsidRDefault="007F269E" w:rsidP="007F269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    Экспресс на инвестиции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Финансирование инвестиций, направленных на создание или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приобретение основных средств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Сумма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1-15 млн руб.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Срок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36 месяцев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Ставка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12,5% годовых</w:t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женщин-пр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едпринимателей – 10,6% годовых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женского предпринимательства, получившие нефинансовую поддержку со стороны АО «Корпорация «МСП» в виде:</w:t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обучения по программам тренингов для субъектов МСП АО «Корпорация «МСП», в том числе «Мама – предприниматель», или</w:t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консультационной поддерж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 через Бизнес-навигатор МСП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кредита - финансирование инвестиций:</w:t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приобретение и/или ремонт и/или модернизация основных средств (машин, оборудования, зданий, сооружений, помещений, земельных участков и т.д.)</w:t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строительство и/или реконструкция зданий/сооружений/ помещений, находящихся в собственности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долгосрочной аренде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 льготного кредитования малого и среднего бизнеса, стимулирование кредитования субъектов МСП</w:t>
      </w:r>
    </w:p>
    <w:p w:rsidR="007F269E" w:rsidRPr="007F269E" w:rsidRDefault="007F269E" w:rsidP="007F269E">
      <w:pPr>
        <w:numPr>
          <w:ilvl w:val="0"/>
          <w:numId w:val="1"/>
        </w:numPr>
        <w:shd w:val="clear" w:color="auto" w:fill="FFFFFF"/>
        <w:spacing w:after="0" w:line="360" w:lineRule="atLeast"/>
        <w:ind w:left="795" w:righ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7F269E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Архив документов по Программе</w:t>
        </w:r>
      </w:hyperlink>
    </w:p>
    <w:p w:rsidR="007F269E" w:rsidRPr="007F269E" w:rsidRDefault="007F269E" w:rsidP="007F269E">
      <w:pPr>
        <w:numPr>
          <w:ilvl w:val="0"/>
          <w:numId w:val="1"/>
        </w:numPr>
        <w:shd w:val="clear" w:color="auto" w:fill="FFFFFF"/>
        <w:spacing w:after="0" w:line="360" w:lineRule="atLeast"/>
        <w:ind w:left="795" w:righ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7F269E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Архив уведомлений</w:t>
        </w:r>
      </w:hyperlink>
    </w:p>
    <w:p w:rsidR="007F269E" w:rsidRPr="007F269E" w:rsidRDefault="007F269E" w:rsidP="007F269E">
      <w:pPr>
        <w:numPr>
          <w:ilvl w:val="0"/>
          <w:numId w:val="1"/>
        </w:numPr>
        <w:shd w:val="clear" w:color="auto" w:fill="FFFFFF"/>
        <w:spacing w:after="0" w:line="360" w:lineRule="atLeast"/>
        <w:ind w:left="795" w:righ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7F269E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Отбор банков</w:t>
        </w:r>
      </w:hyperlink>
    </w:p>
    <w:p w:rsidR="007F269E" w:rsidRDefault="007F269E" w:rsidP="007F269E">
      <w:pPr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Одной из важнейших задач Корпорации МСП является обеспечение субъектов малого и среднего предпринимательства (МСП) до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ступными кредитными ресурсами.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116F2" w:rsidRDefault="007F269E" w:rsidP="007F269E">
      <w:pPr>
        <w:spacing w:after="0"/>
      </w:pPr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Совместно с Минэкономразвития России и Банком России Корпорация разработала </w:t>
      </w:r>
      <w:hyperlink r:id="rId9" w:tgtFrame="_blank" w:history="1">
        <w:r w:rsidRPr="007F269E">
          <w:rPr>
            <w:rFonts w:ascii="Arial" w:eastAsia="Times New Roman" w:hAnsi="Arial" w:cs="Arial"/>
            <w:color w:val="004F64"/>
            <w:sz w:val="21"/>
            <w:szCs w:val="21"/>
            <w:u w:val="single"/>
            <w:lang w:eastAsia="ru-RU"/>
          </w:rPr>
          <w:t>Программу стимулирования кредитования субъектов МСП</w:t>
        </w:r>
      </w:hyperlink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которая фиксирует процентные ставки по кредитам в сумме не менее 3 </w:t>
      </w:r>
      <w:proofErr w:type="gramStart"/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млн</w:t>
      </w:r>
      <w:proofErr w:type="gramEnd"/>
      <w:r w:rsidRPr="007F26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для предприятий, реализующих проекты в приоритетных отраслях экономики, на уровне до 9,6% годовых, в иных отраслях – до 10,6% годовых.</w:t>
      </w:r>
    </w:p>
    <w:sectPr w:rsidR="003116F2" w:rsidSect="007F269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2AF2"/>
    <w:multiLevelType w:val="multilevel"/>
    <w:tmpl w:val="77F2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9E"/>
    <w:rsid w:val="003116F2"/>
    <w:rsid w:val="007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1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02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bankam/programma_stimulir/otbor-bank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rpmsp.ru/bankam/programma_stimulir/arkhiv-uvedomle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msp.ru/bankam/programma_stimulir/arkhiv-dokumentov-po-programm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rpmsp.ru/upload/0e9/%D0%9F%D1%80%D0%BE%D0%B3%D1%80%D0%B0%D0%BC%D0%BC%D0%B0_%D0%BA%D1%80_%D0%B1%D0%BB%D0%B0%D0%BD%D0%B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налоговый</dc:creator>
  <cp:lastModifiedBy>налоговый</cp:lastModifiedBy>
  <cp:revision>1</cp:revision>
  <dcterms:created xsi:type="dcterms:W3CDTF">2020-01-14T09:07:00Z</dcterms:created>
  <dcterms:modified xsi:type="dcterms:W3CDTF">2020-01-14T09:16:00Z</dcterms:modified>
</cp:coreProperties>
</file>